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Обгрунтування закупівлі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Heading2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en-US"/>
        </w:rPr>
        <w:t>код ДК 021: 39110000-6 Сидіння, стільці та супутні вироби і частини до них (крісла м’які, стілець поворотний ULTRA GTP, диван офісний, диван офісний Tetrix S, диван офісний Tetrix LX, лава лофт з планками з фанери L1500, лава лофт з планками з фанери L1000, стілець ISO, банкетка, банкетка Лонг, табурет Лофт, банкетка Tetrix, крісло ALFA GTP)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uk-UA" w:eastAsia="en-US"/>
        </w:rPr>
      </w:r>
    </w:p>
    <w:tbl>
      <w:tblPr>
        <w:tblW w:w="10005" w:type="dxa"/>
        <w:jc w:val="left"/>
        <w:tblInd w:w="-276" w:type="dxa"/>
        <w:tblLayout w:type="fixed"/>
        <w:tblCellMar>
          <w:top w:w="0" w:type="dxa"/>
          <w:left w:w="0" w:type="dxa"/>
          <w:bottom w:w="52" w:type="dxa"/>
          <w:right w:w="104" w:type="dxa"/>
        </w:tblCellMar>
        <w:tblLook w:firstRow="1" w:noVBand="1" w:lastRow="0" w:firstColumn="1" w:lastColumn="0" w:noHBand="0" w:val="04a0"/>
      </w:tblPr>
      <w:tblGrid>
        <w:gridCol w:w="9944"/>
        <w:gridCol w:w="60"/>
      </w:tblGrid>
      <w:tr>
        <w:trPr/>
        <w:tc>
          <w:tcPr>
            <w:tcW w:w="9944" w:type="dxa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395 599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UAH за рахунок коштів Національної служби здоров’я України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.</w:t>
            </w:r>
          </w:p>
          <w:p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Інформація про технічні, якісні, кількісні та інші характеристики предмета закупівлі «код ДК 021: 39110000-6 Сидіння, стільці та супутні вироби і частини до них (крісла м’які, стілець поворотний ULTRA GTP, диван офісний, диван офісний Tetrix S, диван офісний Tetrix LX, лава лофт з планками з фанери L1500, лава лофт з планками з фанери L1000, стілець ISO, банкетка, банкетка Лонг, табурет Лофт, банкетка Tetrix, крісло ALFA GTP)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наведені в додатку 2 до тендерної документації на вищезазначену закупівлю в електронній системі закупівель.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" w:type="dxa"/>
            <w:tcBorders/>
            <w:shd w:color="auto" w:fill="FFFFFF" w:val="clear"/>
            <w:tcMar>
              <w:right w:w="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74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c1276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276d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green" w:customStyle="1">
    <w:name w:val="green"/>
    <w:basedOn w:val="DefaultParagraphFont"/>
    <w:qFormat/>
    <w:rsid w:val="00c1276d"/>
    <w:rPr/>
  </w:style>
  <w:style w:type="character" w:styleId="Style12" w:customStyle="1">
    <w:name w:val="Абзац списка Знак"/>
    <w:link w:val="ListParagraph"/>
    <w:qFormat/>
    <w:locked/>
    <w:rsid w:val="00c1276d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2"/>
    <w:qFormat/>
    <w:rsid w:val="00c1276d"/>
    <w:pPr>
      <w:spacing w:before="0" w:after="200"/>
      <w:ind w:left="720"/>
      <w:contextualSpacing/>
    </w:pPr>
    <w:rPr/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LibreOffice/25.2.5.2$Windows_X86_64 LibreOffice_project/03d19516eb2e1dd5d4ccd751a0d6f35f35e08022</Application>
  <AppVersion>15.0000</AppVersion>
  <Pages>1</Pages>
  <Words>149</Words>
  <Characters>838</Characters>
  <CharactersWithSpaces>981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2024-01-03T13:10:00Z</dcterms:created>
  <dc:creator>GYPNORION</dc:creator>
  <dc:description/>
  <dc:language>uk-UA</dc:language>
  <cp:lastModifiedBy/>
  <dcterms:modified xsi:type="dcterms:W3CDTF">2025-09-22T09:10:54Z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